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FA5891">
      <w:pPr>
        <w:spacing w:line="640" w:lineRule="exact"/>
        <w:jc w:val="center"/>
        <w:rPr>
          <w:rFonts w:ascii="黑体" w:hAnsi="黑体" w:eastAsia="黑体" w:cs="黑体"/>
          <w:b/>
          <w:bCs/>
          <w:sz w:val="44"/>
          <w:szCs w:val="44"/>
        </w:rPr>
      </w:pPr>
    </w:p>
    <w:p w14:paraId="29A2FE3E">
      <w:pPr>
        <w:spacing w:line="640" w:lineRule="exact"/>
        <w:rPr>
          <w:rFonts w:hint="eastAsia" w:ascii="黑体" w:hAnsi="黑体" w:eastAsia="黑体" w:cs="黑体"/>
          <w:b/>
          <w:bCs/>
          <w:sz w:val="52"/>
          <w:szCs w:val="52"/>
        </w:rPr>
      </w:pPr>
      <w:r>
        <w:rPr>
          <w:rFonts w:hint="eastAsia" w:ascii="黑体" w:hAnsi="黑体" w:eastAsia="黑体" w:cs="黑体"/>
          <w:b/>
          <w:bCs/>
          <w:sz w:val="52"/>
          <w:szCs w:val="52"/>
        </w:rPr>
        <w:t xml:space="preserve">      </w:t>
      </w:r>
    </w:p>
    <w:p w14:paraId="710F411B">
      <w:pPr>
        <w:spacing w:line="640" w:lineRule="exact"/>
        <w:rPr>
          <w:rFonts w:hint="eastAsia" w:ascii="黑体" w:hAnsi="黑体" w:eastAsia="黑体" w:cs="黑体"/>
          <w:b/>
          <w:bCs/>
          <w:sz w:val="52"/>
          <w:szCs w:val="52"/>
        </w:rPr>
      </w:pPr>
    </w:p>
    <w:p w14:paraId="1D2A4E38">
      <w:pPr>
        <w:spacing w:line="640" w:lineRule="exact"/>
        <w:ind w:firstLine="2610" w:firstLineChars="500"/>
        <w:jc w:val="both"/>
        <w:rPr>
          <w:rFonts w:ascii="黑体" w:hAnsi="黑体" w:eastAsia="黑体" w:cs="黑体"/>
          <w:b/>
          <w:bCs/>
          <w:sz w:val="52"/>
          <w:szCs w:val="52"/>
        </w:rPr>
      </w:pPr>
      <w:r>
        <w:rPr>
          <w:rFonts w:hint="eastAsia" w:ascii="黑体" w:hAnsi="黑体" w:eastAsia="黑体" w:cs="黑体"/>
          <w:b/>
          <w:bCs/>
          <w:sz w:val="52"/>
          <w:szCs w:val="52"/>
        </w:rPr>
        <w:t>201</w:t>
      </w:r>
      <w:r>
        <w:rPr>
          <w:rFonts w:hint="eastAsia" w:ascii="黑体" w:hAnsi="黑体" w:eastAsia="黑体" w:cs="黑体"/>
          <w:b/>
          <w:bCs/>
          <w:sz w:val="52"/>
          <w:szCs w:val="52"/>
          <w:lang w:val="en-US" w:eastAsia="zh-CN"/>
        </w:rPr>
        <w:t>6</w:t>
      </w:r>
      <w:r>
        <w:rPr>
          <w:rFonts w:hint="eastAsia" w:ascii="黑体" w:hAnsi="黑体" w:eastAsia="黑体" w:cs="黑体"/>
          <w:b/>
          <w:bCs/>
          <w:sz w:val="52"/>
          <w:szCs w:val="52"/>
        </w:rPr>
        <w:t>年部门决算</w:t>
      </w:r>
    </w:p>
    <w:p w14:paraId="6345D3D2">
      <w:pPr>
        <w:spacing w:line="640" w:lineRule="exact"/>
        <w:jc w:val="center"/>
        <w:rPr>
          <w:rFonts w:ascii="黑体" w:hAnsi="黑体" w:eastAsia="黑体" w:cs="黑体"/>
          <w:b/>
          <w:bCs/>
          <w:sz w:val="44"/>
          <w:szCs w:val="44"/>
        </w:rPr>
      </w:pPr>
    </w:p>
    <w:p w14:paraId="26AD68B3">
      <w:pPr>
        <w:spacing w:line="640" w:lineRule="exact"/>
        <w:jc w:val="center"/>
        <w:rPr>
          <w:rFonts w:ascii="黑体" w:hAnsi="黑体" w:eastAsia="黑体" w:cs="黑体"/>
          <w:b/>
          <w:bCs/>
          <w:sz w:val="44"/>
          <w:szCs w:val="44"/>
        </w:rPr>
      </w:pPr>
    </w:p>
    <w:p w14:paraId="7E087672">
      <w:pPr>
        <w:spacing w:line="640" w:lineRule="exact"/>
        <w:jc w:val="center"/>
        <w:rPr>
          <w:rFonts w:ascii="黑体" w:hAnsi="黑体" w:eastAsia="黑体" w:cs="黑体"/>
          <w:b/>
          <w:bCs/>
          <w:sz w:val="44"/>
          <w:szCs w:val="44"/>
        </w:rPr>
      </w:pPr>
    </w:p>
    <w:p w14:paraId="2ADB4657">
      <w:pPr>
        <w:spacing w:line="640" w:lineRule="exact"/>
        <w:jc w:val="center"/>
        <w:rPr>
          <w:rFonts w:ascii="黑体" w:hAnsi="黑体" w:eastAsia="黑体" w:cs="黑体"/>
          <w:b/>
          <w:bCs/>
          <w:sz w:val="44"/>
          <w:szCs w:val="44"/>
        </w:rPr>
      </w:pPr>
    </w:p>
    <w:p w14:paraId="4C30BCB4">
      <w:pPr>
        <w:spacing w:line="640" w:lineRule="exact"/>
        <w:rPr>
          <w:rFonts w:ascii="黑体" w:hAnsi="黑体" w:eastAsia="黑体" w:cs="黑体"/>
          <w:b/>
          <w:bCs/>
          <w:sz w:val="44"/>
          <w:szCs w:val="44"/>
        </w:rPr>
      </w:pPr>
    </w:p>
    <w:p w14:paraId="48E1B848">
      <w:pPr>
        <w:spacing w:line="640" w:lineRule="exact"/>
        <w:rPr>
          <w:rFonts w:ascii="黑体" w:hAnsi="黑体" w:eastAsia="黑体" w:cs="黑体"/>
          <w:b/>
          <w:bCs/>
          <w:sz w:val="44"/>
          <w:szCs w:val="44"/>
        </w:rPr>
      </w:pPr>
    </w:p>
    <w:p w14:paraId="0DB287F0">
      <w:pPr>
        <w:spacing w:line="640" w:lineRule="exact"/>
        <w:jc w:val="center"/>
        <w:rPr>
          <w:rFonts w:ascii="黑体" w:hAnsi="黑体" w:eastAsia="黑体" w:cs="黑体"/>
          <w:b/>
          <w:bCs/>
          <w:sz w:val="36"/>
          <w:szCs w:val="36"/>
        </w:rPr>
      </w:pPr>
    </w:p>
    <w:p w14:paraId="55C5EBDC">
      <w:pPr>
        <w:spacing w:line="640" w:lineRule="exact"/>
        <w:jc w:val="center"/>
        <w:rPr>
          <w:rFonts w:ascii="黑体" w:hAnsi="黑体" w:eastAsia="黑体" w:cs="黑体"/>
          <w:b/>
          <w:bCs/>
          <w:sz w:val="36"/>
          <w:szCs w:val="36"/>
        </w:rPr>
      </w:pPr>
    </w:p>
    <w:p w14:paraId="7F056BF0">
      <w:pPr>
        <w:spacing w:line="640" w:lineRule="exact"/>
        <w:jc w:val="center"/>
        <w:rPr>
          <w:rFonts w:ascii="黑体" w:hAnsi="黑体" w:eastAsia="黑体" w:cs="黑体"/>
          <w:b/>
          <w:bCs/>
          <w:sz w:val="36"/>
          <w:szCs w:val="36"/>
        </w:rPr>
      </w:pPr>
    </w:p>
    <w:p w14:paraId="6F5B8CEE">
      <w:pPr>
        <w:spacing w:line="640" w:lineRule="exact"/>
        <w:jc w:val="center"/>
        <w:rPr>
          <w:rFonts w:ascii="黑体" w:hAnsi="黑体" w:eastAsia="黑体" w:cs="黑体"/>
          <w:b/>
          <w:bCs/>
          <w:sz w:val="36"/>
          <w:szCs w:val="36"/>
        </w:rPr>
      </w:pPr>
    </w:p>
    <w:p w14:paraId="16611EDA">
      <w:pPr>
        <w:spacing w:line="640" w:lineRule="exact"/>
        <w:jc w:val="center"/>
        <w:rPr>
          <w:rFonts w:ascii="黑体" w:hAnsi="黑体" w:eastAsia="黑体" w:cs="黑体"/>
          <w:b/>
          <w:bCs/>
          <w:sz w:val="36"/>
          <w:szCs w:val="36"/>
        </w:rPr>
      </w:pPr>
    </w:p>
    <w:p w14:paraId="13FCC428">
      <w:pPr>
        <w:spacing w:line="640" w:lineRule="exact"/>
        <w:jc w:val="center"/>
        <w:rPr>
          <w:rFonts w:ascii="黑体" w:hAnsi="黑体" w:eastAsia="黑体" w:cs="黑体"/>
          <w:b/>
          <w:bCs/>
          <w:sz w:val="36"/>
          <w:szCs w:val="36"/>
        </w:rPr>
      </w:pPr>
    </w:p>
    <w:p w14:paraId="3970459F">
      <w:pPr>
        <w:spacing w:line="640" w:lineRule="exact"/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单位名称：</w:t>
      </w:r>
      <w:r>
        <w:rPr>
          <w:rFonts w:hint="eastAsia" w:ascii="黑体" w:hAnsi="黑体" w:eastAsia="黑体" w:cs="黑体"/>
          <w:sz w:val="36"/>
          <w:szCs w:val="36"/>
        </w:rPr>
        <w:t>交城县失业保险管理中心（单位公章）</w:t>
      </w:r>
    </w:p>
    <w:p w14:paraId="72D0F81E">
      <w:pPr>
        <w:spacing w:line="640" w:lineRule="exact"/>
        <w:jc w:val="center"/>
        <w:rPr>
          <w:rFonts w:ascii="黑体" w:hAnsi="黑体" w:eastAsia="黑体" w:cs="黑体"/>
          <w:b/>
          <w:bCs/>
          <w:sz w:val="44"/>
          <w:szCs w:val="44"/>
        </w:rPr>
      </w:pPr>
    </w:p>
    <w:p w14:paraId="2A10E12A">
      <w:pPr>
        <w:spacing w:line="640" w:lineRule="exact"/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二〇一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七</w:t>
      </w:r>
      <w:r>
        <w:rPr>
          <w:rFonts w:hint="eastAsia" w:ascii="黑体" w:hAnsi="黑体" w:eastAsia="黑体" w:cs="黑体"/>
          <w:sz w:val="36"/>
          <w:szCs w:val="36"/>
        </w:rPr>
        <w:t>年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八</w:t>
      </w:r>
      <w:r>
        <w:rPr>
          <w:rFonts w:hint="eastAsia" w:ascii="黑体" w:hAnsi="黑体" w:eastAsia="黑体" w:cs="黑体"/>
          <w:sz w:val="36"/>
          <w:szCs w:val="36"/>
        </w:rPr>
        <w:t>月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三十</w:t>
      </w:r>
      <w:r>
        <w:rPr>
          <w:rFonts w:hint="eastAsia" w:ascii="黑体" w:hAnsi="黑体" w:eastAsia="黑体" w:cs="黑体"/>
          <w:sz w:val="36"/>
          <w:szCs w:val="36"/>
        </w:rPr>
        <w:t>日</w:t>
      </w:r>
    </w:p>
    <w:p w14:paraId="3C4C7951">
      <w:pPr>
        <w:spacing w:line="640" w:lineRule="exact"/>
        <w:jc w:val="center"/>
        <w:rPr>
          <w:rFonts w:ascii="宋体" w:hAnsi="宋体" w:cs="宋体"/>
          <w:b/>
          <w:bCs/>
          <w:sz w:val="44"/>
          <w:szCs w:val="44"/>
        </w:rPr>
      </w:pPr>
    </w:p>
    <w:p w14:paraId="568A0A16">
      <w:pPr>
        <w:spacing w:line="640" w:lineRule="exact"/>
        <w:jc w:val="center"/>
        <w:rPr>
          <w:rFonts w:ascii="宋体" w:hAnsi="宋体" w:cs="宋体"/>
          <w:b/>
          <w:bCs/>
          <w:sz w:val="44"/>
          <w:szCs w:val="44"/>
        </w:rPr>
      </w:pPr>
    </w:p>
    <w:p w14:paraId="5320A7D0">
      <w:pPr>
        <w:spacing w:line="640" w:lineRule="exact"/>
        <w:ind w:firstLine="883" w:firstLineChars="200"/>
        <w:jc w:val="both"/>
        <w:rPr>
          <w:rFonts w:hint="eastAsia" w:ascii="宋体" w:hAnsi="宋体" w:cs="宋体"/>
          <w:b/>
          <w:bCs/>
          <w:sz w:val="44"/>
          <w:szCs w:val="44"/>
        </w:rPr>
      </w:pPr>
    </w:p>
    <w:p w14:paraId="7B86FD7D">
      <w:pPr>
        <w:spacing w:line="640" w:lineRule="exact"/>
        <w:ind w:firstLine="883" w:firstLineChars="200"/>
        <w:jc w:val="both"/>
        <w:rPr>
          <w:rFonts w:ascii="宋体" w:hAnsi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</w:rPr>
        <w:t>201</w:t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sz w:val="44"/>
          <w:szCs w:val="44"/>
        </w:rPr>
        <w:t>年交城县失业保险管理中心</w:t>
      </w:r>
    </w:p>
    <w:p w14:paraId="76006A33">
      <w:pPr>
        <w:spacing w:line="640" w:lineRule="exact"/>
        <w:jc w:val="center"/>
        <w:rPr>
          <w:rFonts w:hint="eastAsia" w:ascii="宋体" w:hAnsi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</w:rPr>
        <w:t>部门决算情况说明</w:t>
      </w:r>
    </w:p>
    <w:p w14:paraId="6F35F765">
      <w:pPr>
        <w:spacing w:line="640" w:lineRule="exact"/>
        <w:jc w:val="center"/>
        <w:rPr>
          <w:rFonts w:hint="eastAsia" w:ascii="宋体" w:hAnsi="宋体" w:cs="宋体"/>
          <w:b/>
          <w:bCs/>
          <w:sz w:val="44"/>
          <w:szCs w:val="44"/>
        </w:rPr>
      </w:pPr>
    </w:p>
    <w:p w14:paraId="3B836C2F">
      <w:pPr>
        <w:spacing w:line="640" w:lineRule="exact"/>
        <w:ind w:firstLine="627" w:firstLineChars="196"/>
        <w:rPr>
          <w:rFonts w:ascii="黑体" w:hAnsi="仿宋_GB2312" w:eastAsia="黑体" w:cs="仿宋_GB2312"/>
          <w:sz w:val="32"/>
          <w:szCs w:val="32"/>
        </w:rPr>
      </w:pPr>
      <w:r>
        <w:rPr>
          <w:rFonts w:hint="eastAsia" w:ascii="黑体" w:hAnsi="仿宋_GB2312" w:eastAsia="黑体" w:cs="仿宋_GB2312"/>
          <w:sz w:val="32"/>
          <w:szCs w:val="32"/>
        </w:rPr>
        <w:t>一、部门基本情况</w:t>
      </w:r>
    </w:p>
    <w:p w14:paraId="129E9397">
      <w:pPr>
        <w:spacing w:line="640" w:lineRule="exact"/>
        <w:ind w:firstLine="643" w:firstLineChars="200"/>
        <w:rPr>
          <w:rFonts w:ascii="楷体_GB2312" w:hAnsi="仿宋_GB2312" w:eastAsia="楷体_GB2312" w:cs="仿宋_GB2312"/>
          <w:b/>
          <w:bCs/>
          <w:sz w:val="32"/>
          <w:szCs w:val="32"/>
        </w:rPr>
      </w:pPr>
      <w:r>
        <w:rPr>
          <w:rFonts w:hint="eastAsia" w:ascii="楷体_GB2312" w:hAnsi="仿宋_GB2312" w:eastAsia="楷体_GB2312" w:cs="仿宋_GB2312"/>
          <w:b/>
          <w:bCs/>
          <w:sz w:val="32"/>
          <w:szCs w:val="32"/>
        </w:rPr>
        <w:t>（一）部门机构设置、职能</w:t>
      </w:r>
    </w:p>
    <w:p w14:paraId="335C305F">
      <w:pPr>
        <w:spacing w:line="64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机构设置：办公室、财务室、业务室。</w:t>
      </w:r>
    </w:p>
    <w:p w14:paraId="6DE82CBB">
      <w:pPr>
        <w:spacing w:line="64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基本职能：主要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是负责征缴全县的失业保险金，发放失业职工基本生活费，保障失业职工在失业期间的生活。</w:t>
      </w:r>
    </w:p>
    <w:p w14:paraId="2C881B27">
      <w:pPr>
        <w:spacing w:line="640" w:lineRule="exact"/>
        <w:ind w:firstLine="643" w:firstLineChars="200"/>
        <w:rPr>
          <w:rFonts w:ascii="楷体_GB2312" w:hAnsi="仿宋_GB2312" w:eastAsia="楷体_GB2312" w:cs="仿宋_GB2312"/>
          <w:b/>
          <w:bCs/>
          <w:sz w:val="32"/>
          <w:szCs w:val="32"/>
        </w:rPr>
      </w:pPr>
      <w:r>
        <w:rPr>
          <w:rFonts w:hint="eastAsia" w:ascii="楷体_GB2312" w:hAnsi="仿宋_GB2312" w:eastAsia="楷体_GB2312" w:cs="仿宋_GB2312"/>
          <w:b/>
          <w:bCs/>
          <w:sz w:val="32"/>
          <w:szCs w:val="32"/>
        </w:rPr>
        <w:t>（二）人员构成情况</w:t>
      </w:r>
    </w:p>
    <w:p w14:paraId="7D4152C6">
      <w:pPr>
        <w:spacing w:line="64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本单位编制</w:t>
      </w:r>
      <w:r>
        <w:rPr>
          <w:rFonts w:hint="eastAsia" w:ascii="仿宋_GB2312" w:hAnsi="仿宋_GB2312" w:eastAsia="仿宋_GB2312" w:cs="仿宋_GB2312"/>
          <w:bCs/>
          <w:sz w:val="32"/>
          <w:szCs w:val="32"/>
          <w:u w:val="single"/>
        </w:rPr>
        <w:t xml:space="preserve"> 4 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人，实际单位在职人员</w:t>
      </w:r>
      <w:r>
        <w:rPr>
          <w:rFonts w:hint="eastAsia" w:ascii="仿宋_GB2312" w:hAnsi="仿宋_GB2312" w:eastAsia="仿宋_GB2312" w:cs="仿宋_GB2312"/>
          <w:bCs/>
          <w:sz w:val="32"/>
          <w:szCs w:val="32"/>
          <w:u w:val="single"/>
        </w:rPr>
        <w:t xml:space="preserve"> 4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人，离退休人员</w:t>
      </w:r>
      <w:r>
        <w:rPr>
          <w:rFonts w:hint="eastAsia" w:ascii="仿宋_GB2312" w:hAnsi="仿宋_GB2312" w:eastAsia="仿宋_GB2312" w:cs="仿宋_GB2312"/>
          <w:bCs/>
          <w:sz w:val="32"/>
          <w:szCs w:val="32"/>
          <w:u w:val="single"/>
        </w:rPr>
        <w:t xml:space="preserve"> 6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人，职工死亡直系亲属抚养</w:t>
      </w:r>
      <w:r>
        <w:rPr>
          <w:rFonts w:hint="eastAsia" w:ascii="仿宋_GB2312" w:hAnsi="仿宋_GB2312" w:eastAsia="仿宋_GB2312" w:cs="仿宋_GB2312"/>
          <w:bCs/>
          <w:sz w:val="32"/>
          <w:szCs w:val="32"/>
          <w:u w:val="single"/>
        </w:rPr>
        <w:t>1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人；计划内临时工</w:t>
      </w:r>
      <w:r>
        <w:rPr>
          <w:rFonts w:hint="eastAsia" w:ascii="仿宋_GB2312" w:hAnsi="仿宋_GB2312" w:eastAsia="仿宋_GB2312" w:cs="仿宋_GB2312"/>
          <w:bCs/>
          <w:sz w:val="32"/>
          <w:szCs w:val="32"/>
          <w:u w:val="single"/>
        </w:rPr>
        <w:t xml:space="preserve"> 0 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人。</w:t>
      </w:r>
    </w:p>
    <w:p w14:paraId="6FDE2D41">
      <w:pPr>
        <w:spacing w:line="640" w:lineRule="exact"/>
        <w:ind w:firstLine="960" w:firstLineChars="300"/>
        <w:jc w:val="left"/>
        <w:rPr>
          <w:rFonts w:hint="eastAsia" w:ascii="黑体" w:hAnsi="仿宋_GB2312" w:eastAsia="黑体" w:cs="仿宋_GB2312"/>
          <w:sz w:val="32"/>
          <w:szCs w:val="32"/>
          <w:lang w:val="en-US" w:eastAsia="zh-CN"/>
        </w:rPr>
      </w:pPr>
      <w:r>
        <w:rPr>
          <w:rFonts w:hint="eastAsia" w:ascii="黑体" w:hAnsi="仿宋_GB2312" w:eastAsia="黑体" w:cs="仿宋_GB2312"/>
          <w:sz w:val="32"/>
          <w:szCs w:val="32"/>
        </w:rPr>
        <w:t>二、</w:t>
      </w:r>
      <w:r>
        <w:rPr>
          <w:rFonts w:hint="eastAsia" w:ascii="黑体" w:hAnsi="仿宋_GB2312" w:eastAsia="黑体" w:cs="仿宋_GB2312"/>
          <w:sz w:val="32"/>
          <w:szCs w:val="32"/>
          <w:lang w:val="en-US" w:eastAsia="zh-CN"/>
        </w:rPr>
        <w:t>2016年部门决算情况</w:t>
      </w:r>
    </w:p>
    <w:p w14:paraId="2151EDB3">
      <w:pPr>
        <w:numPr>
          <w:ilvl w:val="0"/>
          <w:numId w:val="1"/>
        </w:numPr>
        <w:spacing w:line="640" w:lineRule="exact"/>
        <w:ind w:firstLine="640"/>
        <w:jc w:val="left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 w:bidi="ar-SA"/>
        </w:rPr>
        <w:t>本年收入：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-SA"/>
        </w:rPr>
        <w:t>共计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  <w:t>582332.28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-SA"/>
        </w:rPr>
        <w:t>元，上年结转56760元。上年收入</w:t>
      </w:r>
      <w:r>
        <w:rPr>
          <w:rFonts w:hint="eastAsia" w:ascii="仿宋_GB2312" w:hAnsi="仿宋_GB2312" w:eastAsia="仿宋_GB2312"/>
          <w:sz w:val="32"/>
        </w:rPr>
        <w:t>583667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-SA"/>
        </w:rPr>
        <w:t>元，本年比上年减少1334.72元。</w:t>
      </w:r>
    </w:p>
    <w:p w14:paraId="2D196EE8">
      <w:pPr>
        <w:numPr>
          <w:ilvl w:val="0"/>
          <w:numId w:val="1"/>
        </w:numPr>
        <w:spacing w:line="640" w:lineRule="exact"/>
        <w:ind w:firstLine="64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 w:bidi="ar-SA"/>
        </w:rPr>
        <w:t>本年支出：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-SA"/>
        </w:rPr>
        <w:t>共计637105.08元，上年支出</w:t>
      </w:r>
      <w:r>
        <w:rPr>
          <w:rFonts w:hint="eastAsia" w:ascii="仿宋_GB2312" w:hAnsi="仿宋_GB2312" w:eastAsia="仿宋_GB2312"/>
          <w:sz w:val="32"/>
        </w:rPr>
        <w:t>589331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-SA"/>
        </w:rPr>
        <w:t>元，本年比上年多支出47774.08元；本年收支结余1987.2元。</w:t>
      </w:r>
    </w:p>
    <w:p w14:paraId="0E595225">
      <w:pPr>
        <w:numPr>
          <w:ilvl w:val="0"/>
          <w:numId w:val="0"/>
        </w:numPr>
        <w:spacing w:line="640" w:lineRule="exact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eastAsia" w:ascii="楷体_GB2312" w:hAnsi="仿宋_GB2312" w:eastAsia="楷体_GB2312" w:cs="仿宋_GB2312"/>
          <w:b/>
          <w:bCs/>
          <w:sz w:val="32"/>
          <w:szCs w:val="32"/>
          <w:lang w:val="en-US" w:eastAsia="zh-CN"/>
        </w:rPr>
        <w:t xml:space="preserve">    1、人员经费支出517532.28元。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主要是在职人员的基本工、岗位津贴、生活补贴、奖励工资、取暖补贴等。离退休费、住房公积金、福利费、遗属补助等。</w:t>
      </w:r>
    </w:p>
    <w:p w14:paraId="1BA951B9">
      <w:pPr>
        <w:spacing w:line="640" w:lineRule="exact"/>
        <w:ind w:firstLine="643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eastAsia" w:ascii="楷体_GB2312" w:hAnsi="仿宋_GB2312" w:eastAsia="楷体_GB2312" w:cs="仿宋_GB2312"/>
          <w:b/>
          <w:bCs/>
          <w:sz w:val="32"/>
          <w:szCs w:val="32"/>
          <w:lang w:val="en-US" w:eastAsia="zh-CN"/>
        </w:rPr>
        <w:t xml:space="preserve">    2、日常公用经费支出</w:t>
      </w:r>
      <w:r>
        <w:rPr>
          <w:rFonts w:hint="eastAsia" w:ascii="仿宋_GB2312" w:hAnsi="仿宋_GB2312" w:eastAsia="仿宋_GB2312" w:cs="仿宋_GB2312"/>
          <w:b/>
          <w:bCs w:val="0"/>
          <w:kern w:val="2"/>
          <w:sz w:val="32"/>
          <w:szCs w:val="32"/>
          <w:lang w:val="en-US" w:eastAsia="zh-CN" w:bidi="ar-SA"/>
        </w:rPr>
        <w:t>119572.8</w:t>
      </w:r>
      <w:r>
        <w:rPr>
          <w:rFonts w:hint="eastAsia" w:ascii="楷体_GB2312" w:hAnsi="仿宋_GB2312" w:eastAsia="楷体_GB2312" w:cs="仿宋_GB2312"/>
          <w:b/>
          <w:bCs/>
          <w:sz w:val="32"/>
          <w:szCs w:val="32"/>
          <w:lang w:val="en-US" w:eastAsia="zh-CN"/>
        </w:rPr>
        <w:t>元。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主要是办公费、印刷费、差旅费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  <w:t>、房租、线路租赁经费等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。</w:t>
      </w:r>
    </w:p>
    <w:p w14:paraId="69608A37">
      <w:pPr>
        <w:spacing w:line="640" w:lineRule="exact"/>
        <w:ind w:firstLine="640" w:firstLineChars="200"/>
        <w:jc w:val="left"/>
        <w:rPr>
          <w:rFonts w:hint="eastAsia" w:ascii="黑体" w:hAnsi="仿宋_GB2312" w:eastAsia="黑体" w:cs="仿宋_GB2312"/>
          <w:sz w:val="32"/>
          <w:szCs w:val="32"/>
          <w:lang w:val="en-US" w:eastAsia="zh-CN"/>
        </w:rPr>
      </w:pPr>
      <w:r>
        <w:rPr>
          <w:rFonts w:hint="eastAsia" w:ascii="黑体" w:hAnsi="仿宋_GB2312" w:eastAsia="黑体" w:cs="仿宋_GB2312"/>
          <w:sz w:val="32"/>
          <w:szCs w:val="32"/>
          <w:lang w:val="en-US" w:eastAsia="zh-CN"/>
        </w:rPr>
        <w:t>三、其他说明</w:t>
      </w:r>
    </w:p>
    <w:p w14:paraId="762188D7">
      <w:pPr>
        <w:numPr>
          <w:ilvl w:val="0"/>
          <w:numId w:val="0"/>
        </w:numPr>
        <w:spacing w:line="640" w:lineRule="exact"/>
        <w:ind w:firstLine="64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1、政府采购支出86271元，其中货物支出35971元，服务支出50300元。</w:t>
      </w:r>
    </w:p>
    <w:p w14:paraId="0384134C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2</w:t>
      </w:r>
      <w:r>
        <w:rPr>
          <w:rFonts w:ascii="方正黑体_GBK" w:hAnsi="方正黑体_GBK" w:eastAsia="方正黑体_GBK" w:cs="方正黑体_GBK"/>
          <w:b w:val="0"/>
          <w:color w:val="0000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预算绩效评价管理工作情况</w:t>
      </w:r>
    </w:p>
    <w:p w14:paraId="4EF4323C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 xml:space="preserve">     </w:t>
      </w:r>
      <w:r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对预算绩效管理工作,我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单位</w:t>
      </w:r>
      <w:r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严格执行年初预算并在年中开展各项工作。</w:t>
      </w:r>
    </w:p>
    <w:p w14:paraId="2A6D5E57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3、“三公”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经费2016年为0，2015年为0，无增减变化。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F90621"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D55E2B"/>
    <w:multiLevelType w:val="singleLevel"/>
    <w:tmpl w:val="57D55E2B"/>
    <w:lvl w:ilvl="0" w:tentative="0">
      <w:start w:val="1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8C7973"/>
    <w:rsid w:val="001E1AE7"/>
    <w:rsid w:val="00446C91"/>
    <w:rsid w:val="0081789F"/>
    <w:rsid w:val="00874F42"/>
    <w:rsid w:val="00BD52C2"/>
    <w:rsid w:val="0EF93309"/>
    <w:rsid w:val="24E33C42"/>
    <w:rsid w:val="2C9D170F"/>
    <w:rsid w:val="2E8C7973"/>
    <w:rsid w:val="380639C1"/>
    <w:rsid w:val="386E1426"/>
    <w:rsid w:val="56262688"/>
    <w:rsid w:val="59834FD2"/>
    <w:rsid w:val="5E9C2A23"/>
    <w:rsid w:val="6BB917EF"/>
    <w:rsid w:val="7E342E9E"/>
    <w:rsid w:val="7E4E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p0"/>
    <w:basedOn w:val="1"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490</Words>
  <Characters>580</Characters>
  <Lines>2</Lines>
  <Paragraphs>1</Paragraphs>
  <TotalTime>0</TotalTime>
  <ScaleCrop>false</ScaleCrop>
  <LinksUpToDate>false</LinksUpToDate>
  <CharactersWithSpaces>605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2016-09-20T09:34:00Z</dcterms:created>
  <dc:creator>Administrator</dc:creator>
  <cp:lastModifiedBy>成</cp:lastModifiedBy>
  <cp:lastPrinted>2017-09-05T08:27:00Z</cp:lastPrinted>
  <dcterms:modified xsi:type="dcterms:W3CDTF">2025-10-09T01:36:51Z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eyJoZGlkIjoiYzhiZDY4YjQ3MTExMWUwZTQzNDEyNzQxZDIxMzNjZTQiLCJ1c2VySWQiOiIxMTQ5OTg3NTc2In0=</vt:lpwstr>
  </property>
  <property fmtid="{D5CDD505-2E9C-101B-9397-08002B2CF9AE}" pid="4" name="ICV">
    <vt:lpwstr>1DEAD7FF191B4338AA9C39EECD0C8814_12</vt:lpwstr>
  </property>
</Properties>
</file>